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624BB" w:rsidRDefault="00A010F8" w:rsidP="00DD325B">
      <w:pPr>
        <w:tabs>
          <w:tab w:val="left" w:pos="2977"/>
        </w:tabs>
        <w:jc w:val="center"/>
        <w:rPr>
          <w:rFonts w:ascii="Algerian" w:hAnsi="Algerian"/>
          <w:b/>
          <w:color w:val="C00000"/>
          <w:sz w:val="40"/>
          <w:szCs w:val="40"/>
        </w:rPr>
      </w:pPr>
      <w:r>
        <w:rPr>
          <w:rFonts w:ascii="Algerian" w:hAnsi="Algerian"/>
          <w:b/>
          <w:noProof/>
          <w:color w:val="C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70.65pt;margin-top:-13.45pt;width:638.25pt;height:6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" fillcolor="#dbe5f1 [660]" strokecolor="#002060">
            <v:textbox>
              <w:txbxContent>
                <w:p w:rsidR="00E624BB" w:rsidRPr="00092B19" w:rsidRDefault="00E624BB" w:rsidP="00E624BB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jc w:val="center"/>
                    <w:rPr>
                      <w:rFonts w:ascii="Algerian" w:hAnsi="Algerian"/>
                      <w:b/>
                      <w:color w:val="D6E3BC" w:themeColor="accent3" w:themeTint="66"/>
                      <w:sz w:val="40"/>
                      <w:szCs w:val="40"/>
                    </w:rPr>
                  </w:pPr>
                  <w:r w:rsidRPr="00092B19">
                    <w:rPr>
                      <w:rFonts w:ascii="Algerian" w:hAnsi="Algerian"/>
                      <w:b/>
                      <w:color w:val="D6E3BC" w:themeColor="accent3" w:themeTint="66"/>
                      <w:sz w:val="40"/>
                      <w:szCs w:val="40"/>
                    </w:rPr>
                    <w:t>Denikings insurance and investment broker</w:t>
                  </w:r>
                </w:p>
                <w:p w:rsidR="00E624BB" w:rsidRPr="00092B19" w:rsidRDefault="00E624BB" w:rsidP="00E624BB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sz w:val="28"/>
                      <w:szCs w:val="28"/>
                    </w:rPr>
                    <w:t xml:space="preserve">3111 Dufferin St, Suite </w:t>
                  </w:r>
                  <w:r w:rsidRPr="00092B19"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sz w:val="28"/>
                      <w:szCs w:val="28"/>
                    </w:rPr>
                    <w:t>#</w:t>
                  </w:r>
                  <w:r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sz w:val="28"/>
                      <w:szCs w:val="28"/>
                    </w:rPr>
                    <w:t xml:space="preserve"> B 4, Toronto, M6A2S7 </w:t>
                  </w:r>
                  <w:r w:rsidRPr="00092B19"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sz w:val="28"/>
                      <w:szCs w:val="28"/>
                    </w:rPr>
                    <w:t>ON, Canada</w:t>
                  </w:r>
                </w:p>
                <w:p w:rsidR="00E624BB" w:rsidRPr="005E370C" w:rsidRDefault="00E624BB" w:rsidP="00E624BB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b/>
                      <w:color w:val="EAF1DD" w:themeColor="accent3" w:themeTint="33"/>
                    </w:rPr>
                  </w:pPr>
                  <w:r w:rsidRPr="00092B19"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lang w:val="fr-FR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lang w:val="fr-FR"/>
                    </w:rPr>
                    <w:t xml:space="preserve">        P</w:t>
                  </w:r>
                  <w:r w:rsidRPr="00092B19"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lang w:val="fr-FR"/>
                    </w:rPr>
                    <w:t xml:space="preserve">hone: +1 (416) 846-5837   Fax: +1 (647) 693-5898 </w:t>
                  </w:r>
                  <w:r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lang w:val="fr-FR"/>
                    </w:rPr>
                    <w:t xml:space="preserve"> E</w:t>
                  </w:r>
                  <w:r w:rsidRPr="00092B19"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lang w:val="fr-FR"/>
                    </w:rPr>
                    <w:t xml:space="preserve">mail: </w:t>
                  </w:r>
                  <w:hyperlink r:id="rId8" w:history="1">
                    <w:r w:rsidRPr="00092B19">
                      <w:rPr>
                        <w:rStyle w:val="Hyperlink"/>
                        <w:rFonts w:ascii="Times New Roman" w:hAnsi="Times New Roman" w:cs="Times New Roman"/>
                        <w:b/>
                        <w:color w:val="D6E3BC" w:themeColor="accent3" w:themeTint="66"/>
                        <w:lang w:val="fr-FR"/>
                      </w:rPr>
                      <w:t>devangkumar.shah@gmail.com</w:t>
                    </w:r>
                  </w:hyperlink>
                  <w:r w:rsidR="005E370C">
                    <w:t xml:space="preserve">   </w:t>
                  </w:r>
                  <w:r w:rsidR="005E370C" w:rsidRPr="005E370C">
                    <w:rPr>
                      <w:b/>
                      <w:color w:val="EAF1DD" w:themeColor="accent3" w:themeTint="33"/>
                    </w:rPr>
                    <w:t>www.denikingsinsurance.com</w:t>
                  </w:r>
                </w:p>
                <w:p w:rsidR="00E624BB" w:rsidRDefault="00E624BB" w:rsidP="00E624BB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color w:val="D6E3BC" w:themeColor="accent3" w:themeTint="66"/>
                    </w:rPr>
                  </w:pPr>
                </w:p>
                <w:p w:rsidR="002855CE" w:rsidRDefault="002855CE" w:rsidP="00092B19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color w:val="D6E3BC" w:themeColor="accent3" w:themeTint="66"/>
                    </w:rPr>
                  </w:pPr>
                </w:p>
                <w:p w:rsidR="002855CE" w:rsidRDefault="002855CE" w:rsidP="00092B19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color w:val="D6E3BC" w:themeColor="accent3" w:themeTint="66"/>
                    </w:rPr>
                  </w:pPr>
                </w:p>
                <w:p w:rsidR="002855CE" w:rsidRDefault="002855CE" w:rsidP="00092B19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color w:val="D6E3BC" w:themeColor="accent3" w:themeTint="66"/>
                    </w:rPr>
                  </w:pPr>
                </w:p>
                <w:p w:rsidR="002855CE" w:rsidRDefault="002855CE" w:rsidP="00092B19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color w:val="D6E3BC" w:themeColor="accent3" w:themeTint="66"/>
                    </w:rPr>
                  </w:pPr>
                </w:p>
                <w:p w:rsidR="002855CE" w:rsidRDefault="002855CE" w:rsidP="00092B19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color w:val="D6E3BC" w:themeColor="accent3" w:themeTint="66"/>
                    </w:rPr>
                  </w:pPr>
                </w:p>
                <w:p w:rsidR="002855CE" w:rsidRPr="00092B19" w:rsidRDefault="002855CE" w:rsidP="00092B19">
                  <w:pPr>
                    <w:shd w:val="clear" w:color="auto" w:fill="943634" w:themeFill="accent2" w:themeFillShade="BF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D6E3BC" w:themeColor="accent3" w:themeTint="66"/>
                      <w:lang w:val="fr-FR"/>
                    </w:rPr>
                  </w:pPr>
                </w:p>
                <w:p w:rsidR="00C23EA7" w:rsidRPr="006C3E85" w:rsidRDefault="00C23EA7" w:rsidP="009009E1">
                  <w:pPr>
                    <w:shd w:val="clear" w:color="auto" w:fill="FDE9D9" w:themeFill="accent6" w:themeFillTint="33"/>
                    <w:tabs>
                      <w:tab w:val="left" w:pos="2977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1F497D" w:themeColor="text2"/>
                      <w:sz w:val="24"/>
                      <w:szCs w:val="24"/>
                      <w:lang w:val="fr-FR"/>
                    </w:rPr>
                  </w:pPr>
                  <w:r w:rsidRPr="006C3E85">
                    <w:rPr>
                      <w:rFonts w:ascii="Times New Roman" w:hAnsi="Times New Roman" w:cs="Times New Roman"/>
                      <w:b/>
                      <w:color w:val="1F497D" w:themeColor="text2"/>
                      <w:lang w:val="fr-FR"/>
                    </w:rPr>
                    <w:tab/>
                  </w:r>
                  <w:r w:rsidRPr="006C3E85">
                    <w:rPr>
                      <w:rFonts w:ascii="Times New Roman" w:hAnsi="Times New Roman" w:cs="Times New Roman"/>
                      <w:b/>
                      <w:color w:val="1F497D" w:themeColor="text2"/>
                      <w:lang w:val="fr-FR"/>
                    </w:rPr>
                    <w:tab/>
                  </w:r>
                </w:p>
                <w:p w:rsidR="00C23EA7" w:rsidRPr="006C3E85" w:rsidRDefault="00C23EA7">
                  <w:pPr>
                    <w:rPr>
                      <w:color w:val="1F497D" w:themeColor="text2"/>
                      <w:lang w:val="fr-FR"/>
                    </w:rPr>
                  </w:pPr>
                </w:p>
              </w:txbxContent>
            </v:textbox>
          </v:shape>
        </w:pict>
      </w:r>
    </w:p>
    <w:p w:rsidR="00E624BB" w:rsidRDefault="00E624BB" w:rsidP="00DD325B">
      <w:pPr>
        <w:tabs>
          <w:tab w:val="left" w:pos="2977"/>
        </w:tabs>
        <w:jc w:val="center"/>
        <w:rPr>
          <w:rFonts w:ascii="Algerian" w:hAnsi="Algerian"/>
          <w:b/>
          <w:color w:val="C00000"/>
          <w:sz w:val="40"/>
          <w:szCs w:val="40"/>
        </w:rPr>
      </w:pPr>
    </w:p>
    <w:p w:rsidR="00C859D8" w:rsidRPr="00C859D8" w:rsidRDefault="00464F79" w:rsidP="007574CF">
      <w:pPr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64F79">
        <w:rPr>
          <w:rFonts w:ascii="Times New Roman" w:eastAsia="Times New Roman" w:hAnsi="Times New Roman" w:cs="Times New Roman"/>
          <w:color w:val="000000"/>
          <w:sz w:val="40"/>
          <w:szCs w:val="48"/>
        </w:rPr>
        <w:t>Why</w:t>
      </w:r>
      <w:r w:rsidR="002478F2">
        <w:rPr>
          <w:rFonts w:ascii="Times New Roman" w:eastAsia="Times New Roman" w:hAnsi="Times New Roman" w:cs="Times New Roman"/>
          <w:color w:val="000000"/>
          <w:sz w:val="40"/>
          <w:szCs w:val="48"/>
        </w:rPr>
        <w:t xml:space="preserve"> I</w:t>
      </w:r>
      <w:r w:rsidR="00C859D8" w:rsidRPr="00464F79">
        <w:rPr>
          <w:rFonts w:ascii="Times New Roman" w:eastAsia="Times New Roman" w:hAnsi="Times New Roman" w:cs="Times New Roman"/>
          <w:color w:val="000000"/>
          <w:sz w:val="40"/>
          <w:szCs w:val="48"/>
        </w:rPr>
        <w:t>n</w:t>
      </w:r>
      <w:r w:rsidR="002478F2">
        <w:rPr>
          <w:rFonts w:ascii="Times New Roman" w:eastAsia="Times New Roman" w:hAnsi="Times New Roman" w:cs="Times New Roman"/>
          <w:color w:val="000000"/>
          <w:sz w:val="40"/>
          <w:szCs w:val="48"/>
        </w:rPr>
        <w:t>vest W</w:t>
      </w:r>
      <w:r w:rsidRPr="00464F79">
        <w:rPr>
          <w:rFonts w:ascii="Times New Roman" w:eastAsia="Times New Roman" w:hAnsi="Times New Roman" w:cs="Times New Roman"/>
          <w:color w:val="000000"/>
          <w:sz w:val="40"/>
          <w:szCs w:val="48"/>
        </w:rPr>
        <w:t>ith</w:t>
      </w:r>
      <w:r w:rsidR="002478F2">
        <w:rPr>
          <w:rFonts w:ascii="Times New Roman" w:eastAsia="Times New Roman" w:hAnsi="Times New Roman" w:cs="Times New Roman"/>
          <w:color w:val="000000"/>
          <w:sz w:val="40"/>
          <w:szCs w:val="48"/>
        </w:rPr>
        <w:t xml:space="preserve"> U</w:t>
      </w:r>
      <w:r w:rsidR="00D9730E">
        <w:rPr>
          <w:rFonts w:ascii="Times New Roman" w:eastAsia="Times New Roman" w:hAnsi="Times New Roman" w:cs="Times New Roman"/>
          <w:color w:val="000000"/>
          <w:sz w:val="40"/>
          <w:szCs w:val="48"/>
        </w:rPr>
        <w:t>s</w:t>
      </w:r>
      <w:r>
        <w:rPr>
          <w:rFonts w:ascii="Times New Roman" w:eastAsia="Times New Roman" w:hAnsi="Times New Roman" w:cs="Times New Roman"/>
          <w:color w:val="000000"/>
          <w:sz w:val="40"/>
          <w:szCs w:val="48"/>
        </w:rPr>
        <w:t>?</w:t>
      </w:r>
      <w:bookmarkStart w:id="0" w:name="_GoBack"/>
      <w:bookmarkEnd w:id="0"/>
    </w:p>
    <w:p w:rsidR="00C859D8" w:rsidRPr="007574CF" w:rsidRDefault="00C859D8" w:rsidP="00464F7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</w:t>
      </w:r>
      <w:r w:rsidR="00464F79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are w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orried for </w:t>
      </w:r>
      <w:r w:rsidR="00464F79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your retirement. I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 you do not plan for your retirement today, </w:t>
      </w:r>
      <w:r w:rsidR="00464F79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then h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ow can you survive witho</w:t>
      </w:r>
      <w:r w:rsidR="00464F79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ut income after your retirement?</w:t>
      </w:r>
      <w:r w:rsidR="00A8377D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478F2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What</w:t>
      </w:r>
      <w:r w:rsidR="00A8377D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are</w:t>
      </w:r>
      <w:r w:rsidR="00940ADC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 </w:t>
      </w:r>
      <w:r w:rsidR="00A8377D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retirement</w:t>
      </w:r>
      <w:r w:rsidR="00940ADC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benefits from Government?</w:t>
      </w:r>
    </w:p>
    <w:p w:rsidR="004B3810" w:rsidRPr="007574CF" w:rsidRDefault="004B3810" w:rsidP="004B3810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We provide advice and offer you different funds based on your risk profile and objectives.</w:t>
      </w:r>
    </w:p>
    <w:p w:rsidR="00C859D8" w:rsidRPr="007574CF" w:rsidRDefault="00C859D8" w:rsidP="00464F7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plan with you to make sure </w:t>
      </w:r>
      <w:r w:rsidR="00464F79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your retirement planning is on track.</w:t>
      </w:r>
      <w:r w:rsidR="004B3810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if your investment does not grow more than inflation then what's the point to investment in that funds</w:t>
      </w:r>
    </w:p>
    <w:p w:rsidR="00C859D8" w:rsidRPr="007574CF" w:rsidRDefault="00C859D8" w:rsidP="00464F7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have </w:t>
      </w:r>
      <w:r w:rsidR="00464F79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 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lot more options</w:t>
      </w:r>
      <w:r w:rsidR="00464F79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invest your money from low r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isk with capital guarantee to high return with high risk.</w:t>
      </w:r>
    </w:p>
    <w:p w:rsidR="00464F79" w:rsidRPr="00BA5F8E" w:rsidRDefault="00464F79" w:rsidP="00464F7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Va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ri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ies of Mutual Funds, Segregated Funds, M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arke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t L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ink GIC, Guaran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teed investment Certificate and High Interest Saving A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ccounts are available from all</w:t>
      </w:r>
      <w:r w:rsidR="00BA5F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Major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local Canadian banks</w:t>
      </w:r>
      <w:r w:rsidR="00BA5F8E">
        <w:rPr>
          <w:rFonts w:ascii="Times New Roman" w:eastAsia="Times New Roman" w:hAnsi="Times New Roman" w:cs="Times New Roman"/>
          <w:color w:val="000000"/>
          <w:sz w:val="32"/>
          <w:szCs w:val="32"/>
        </w:rPr>
        <w:t>, insurance companies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&amp; financial institutes.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* </w:t>
      </w:r>
      <w:r w:rsidRPr="00BA5F8E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859D8" w:rsidRPr="00BA5F8E">
        <w:rPr>
          <w:rFonts w:ascii="Times New Roman" w:eastAsia="Times New Roman" w:hAnsi="Times New Roman" w:cs="Times New Roman"/>
          <w:color w:val="000000"/>
          <w:sz w:val="20"/>
          <w:szCs w:val="20"/>
        </w:rPr>
        <w:t>utual funds are sold through mutual fund dealer</w:t>
      </w:r>
      <w:r w:rsidRPr="00BA5F8E">
        <w:rPr>
          <w:rFonts w:ascii="Times New Roman" w:eastAsia="Times New Roman" w:hAnsi="Times New Roman" w:cs="Times New Roman"/>
          <w:color w:val="000000"/>
          <w:sz w:val="20"/>
          <w:szCs w:val="20"/>
        </w:rPr>
        <w:t>:  Shah Financial Planning I</w:t>
      </w:r>
      <w:r w:rsidR="00C859D8" w:rsidRPr="00BA5F8E">
        <w:rPr>
          <w:rFonts w:ascii="Times New Roman" w:eastAsia="Times New Roman" w:hAnsi="Times New Roman" w:cs="Times New Roman"/>
          <w:color w:val="000000"/>
          <w:sz w:val="20"/>
          <w:szCs w:val="20"/>
        </w:rPr>
        <w:t>nc.</w:t>
      </w:r>
    </w:p>
    <w:p w:rsidR="00464F79" w:rsidRPr="007574CF" w:rsidRDefault="00C859D8" w:rsidP="00464F7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 fees, No service charges, No contract, </w:t>
      </w:r>
      <w:r w:rsidR="00D9730E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and full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flexibility </w:t>
      </w:r>
      <w:r w:rsidR="00D9730E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- if you do not satisfy with us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, you can move your investment where ever you want.</w:t>
      </w:r>
    </w:p>
    <w:p w:rsidR="00D9730E" w:rsidRPr="007574CF" w:rsidRDefault="00D9730E" w:rsidP="00D9730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We perform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professional r</w:t>
      </w:r>
      <w:r w:rsidR="00F07062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eview of your investment once or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twice in a </w:t>
      </w:r>
      <w:r w:rsidR="004B3810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year. Our assets review software will  calculate and track your total assets</w:t>
      </w:r>
    </w:p>
    <w:p w:rsidR="00D9730E" w:rsidRPr="007574CF" w:rsidRDefault="00D9730E" w:rsidP="00D9730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We give you 24 hr</w:t>
      </w:r>
      <w:r w:rsidR="00F07062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access to check your portfolio, Available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365 days, just a phone call away.</w:t>
      </w:r>
    </w:p>
    <w:p w:rsidR="00D9730E" w:rsidRPr="007574CF" w:rsidRDefault="00D9730E" w:rsidP="00D9730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We also offer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you complete 5 step financial planning 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which includes Income Protection (I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nsurance), Retirement,</w:t>
      </w: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Child Education, Mortgage and Estate P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lanning.</w:t>
      </w:r>
    </w:p>
    <w:p w:rsidR="00D9730E" w:rsidRPr="007574CF" w:rsidRDefault="00D9730E" w:rsidP="00D9730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="00C859D8"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ou can switch your investment from one institute to other without any fees.</w:t>
      </w:r>
    </w:p>
    <w:p w:rsidR="00F07062" w:rsidRPr="007574CF" w:rsidRDefault="00F07062" w:rsidP="00D9730E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74CF">
        <w:rPr>
          <w:rFonts w:ascii="Times New Roman" w:eastAsia="Times New Roman" w:hAnsi="Times New Roman" w:cs="Times New Roman"/>
          <w:color w:val="000000"/>
          <w:sz w:val="32"/>
          <w:szCs w:val="32"/>
        </w:rPr>
        <w:t>RRSP and TFSA investment is your money; you can withdraw it whenever you need it. Both plans have their own advantages so take full benefits of both plans</w:t>
      </w:r>
    </w:p>
    <w:p w:rsidR="004B3810" w:rsidRPr="007574CF" w:rsidRDefault="004B3810" w:rsidP="004B3810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859D8" w:rsidRPr="007574CF" w:rsidRDefault="00C859D8" w:rsidP="00D97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730E" w:rsidRDefault="00D9730E" w:rsidP="00D9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D9730E" w:rsidRDefault="00D9730E" w:rsidP="00D9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D9730E" w:rsidRDefault="00D9730E" w:rsidP="00D9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C859D8" w:rsidRPr="00D9730E" w:rsidRDefault="00D9730E" w:rsidP="00D973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73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What are the options a</w:t>
      </w:r>
      <w:r w:rsidR="00C859D8" w:rsidRPr="00D973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vailable for your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TFSA/RRSP/RESP/RRIF/ANNUITY/IN</w:t>
      </w:r>
      <w:r w:rsidR="00C859D8" w:rsidRPr="00D973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COME FOR LIFE/LIRA</w:t>
      </w:r>
      <w:r w:rsidRPr="00D973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?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859D8">
        <w:rPr>
          <w:rFonts w:ascii="Times New Roman" w:eastAsia="Times New Roman" w:hAnsi="Times New Roman" w:cs="Times New Roman"/>
          <w:b/>
          <w:bCs/>
          <w:color w:val="548DD4"/>
          <w:sz w:val="19"/>
          <w:szCs w:val="19"/>
        </w:rPr>
        <w:t> </w:t>
      </w:r>
    </w:p>
    <w:p w:rsidR="00C859D8" w:rsidRPr="00D9730E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9"/>
        </w:rPr>
      </w:pPr>
      <w:r w:rsidRPr="00D9730E">
        <w:rPr>
          <w:rFonts w:ascii="Times New Roman" w:eastAsia="Times New Roman" w:hAnsi="Times New Roman" w:cs="Times New Roman"/>
          <w:b/>
          <w:bCs/>
          <w:color w:val="548DD4"/>
          <w:sz w:val="20"/>
          <w:szCs w:val="19"/>
        </w:rPr>
        <w:t>1. Savings Account &amp; GIC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Default="001A563F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If your g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oal of investment is 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curity of your capital and need money within next 2 years, i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t is better to invest in GIC for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r or 2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Manulife Advantage accounts;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withdraw your money quickly without 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any penalties.</w:t>
      </w:r>
    </w:p>
    <w:p w:rsidR="00E15B66" w:rsidRDefault="00E15B66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E15B66" w:rsidTr="00B04EBC">
        <w:tc>
          <w:tcPr>
            <w:tcW w:w="10563" w:type="dxa"/>
            <w:gridSpan w:val="3"/>
          </w:tcPr>
          <w:p w:rsidR="00E15B66" w:rsidRPr="00597F62" w:rsidRDefault="00E15B66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97F62">
              <w:rPr>
                <w:rFonts w:ascii="Times New Roman" w:eastAsia="Times New Roman" w:hAnsi="Times New Roman" w:cs="Times New Roman"/>
                <w:b/>
                <w:color w:val="E36C0A"/>
                <w:sz w:val="19"/>
                <w:szCs w:val="19"/>
              </w:rPr>
              <w:t>SAVINGS ACCOUNT               </w:t>
            </w:r>
          </w:p>
        </w:tc>
      </w:tr>
      <w:tr w:rsidR="00E15B66" w:rsidTr="00E15B66">
        <w:tc>
          <w:tcPr>
            <w:tcW w:w="3521" w:type="dxa"/>
          </w:tcPr>
          <w:p w:rsidR="00E15B66" w:rsidRPr="00E15B66" w:rsidRDefault="00E15B66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15B6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Name of Financial Institute</w:t>
            </w:r>
          </w:p>
        </w:tc>
        <w:tc>
          <w:tcPr>
            <w:tcW w:w="3521" w:type="dxa"/>
          </w:tcPr>
          <w:p w:rsidR="00E15B66" w:rsidRPr="00E15B66" w:rsidRDefault="00E15B66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E15B6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TERMS</w:t>
            </w:r>
          </w:p>
        </w:tc>
        <w:tc>
          <w:tcPr>
            <w:tcW w:w="3521" w:type="dxa"/>
          </w:tcPr>
          <w:p w:rsidR="00E15B66" w:rsidRPr="00E15B66" w:rsidRDefault="00E15B66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% INTEREST</w:t>
            </w:r>
          </w:p>
        </w:tc>
      </w:tr>
      <w:tr w:rsidR="00E15B66" w:rsidTr="00E15B66">
        <w:tc>
          <w:tcPr>
            <w:tcW w:w="3521" w:type="dxa"/>
            <w:vAlign w:val="center"/>
          </w:tcPr>
          <w:p w:rsidR="00E15B66" w:rsidRPr="00E15B66" w:rsidRDefault="00E15B66" w:rsidP="00E15B6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Manulife Bank Advantage Account</w:t>
            </w:r>
          </w:p>
        </w:tc>
        <w:tc>
          <w:tcPr>
            <w:tcW w:w="3521" w:type="dxa"/>
            <w:vAlign w:val="center"/>
          </w:tcPr>
          <w:p w:rsidR="00E15B66" w:rsidRDefault="00E15B66" w:rsidP="00E15B6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Open</w:t>
            </w:r>
          </w:p>
        </w:tc>
        <w:tc>
          <w:tcPr>
            <w:tcW w:w="3521" w:type="dxa"/>
            <w:vAlign w:val="center"/>
          </w:tcPr>
          <w:p w:rsidR="00E15B66" w:rsidRDefault="00E15B66" w:rsidP="00E15B6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1.0 %</w:t>
            </w:r>
          </w:p>
        </w:tc>
      </w:tr>
      <w:tr w:rsidR="00E15B66" w:rsidTr="00E15B66">
        <w:tc>
          <w:tcPr>
            <w:tcW w:w="3521" w:type="dxa"/>
            <w:vAlign w:val="center"/>
          </w:tcPr>
          <w:p w:rsidR="00E15B66" w:rsidRPr="00E15B66" w:rsidRDefault="00E15B66" w:rsidP="00E15B6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Scotia High Interest</w:t>
            </w:r>
          </w:p>
        </w:tc>
        <w:tc>
          <w:tcPr>
            <w:tcW w:w="3521" w:type="dxa"/>
            <w:vAlign w:val="center"/>
          </w:tcPr>
          <w:p w:rsidR="00E15B66" w:rsidRDefault="00E15B66" w:rsidP="00E15B6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Open</w:t>
            </w:r>
          </w:p>
        </w:tc>
        <w:tc>
          <w:tcPr>
            <w:tcW w:w="3521" w:type="dxa"/>
            <w:vAlign w:val="center"/>
          </w:tcPr>
          <w:p w:rsidR="00E15B66" w:rsidRDefault="00E15B66" w:rsidP="00E15B66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0.75 %</w:t>
            </w:r>
          </w:p>
        </w:tc>
      </w:tr>
    </w:tbl>
    <w:p w:rsidR="00E15B66" w:rsidRPr="00C859D8" w:rsidRDefault="00E15B66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597F62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E36C0A"/>
          <w:sz w:val="19"/>
          <w:szCs w:val="19"/>
        </w:rPr>
      </w:pPr>
    </w:p>
    <w:p w:rsidR="00C859D8" w:rsidRPr="00597F62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19"/>
          <w:szCs w:val="19"/>
        </w:rPr>
      </w:pPr>
      <w:r w:rsidRPr="00597F62">
        <w:rPr>
          <w:rFonts w:ascii="Times New Roman" w:eastAsia="Times New Roman" w:hAnsi="Times New Roman" w:cs="Times New Roman"/>
          <w:b/>
          <w:color w:val="E36C0A"/>
          <w:sz w:val="19"/>
          <w:szCs w:val="19"/>
        </w:rPr>
        <w:t>Interest rate of GIC                                           </w:t>
      </w:r>
    </w:p>
    <w:p w:rsid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597F62" w:rsidTr="00597F62">
        <w:tc>
          <w:tcPr>
            <w:tcW w:w="2640" w:type="dxa"/>
          </w:tcPr>
          <w:p w:rsidR="00597F62" w:rsidRPr="00597F62" w:rsidRDefault="00597F62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97F6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Name of Financial Institute</w:t>
            </w:r>
          </w:p>
        </w:tc>
        <w:tc>
          <w:tcPr>
            <w:tcW w:w="2641" w:type="dxa"/>
          </w:tcPr>
          <w:p w:rsidR="00597F62" w:rsidRPr="00597F62" w:rsidRDefault="00597F62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97F6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Manulife/IA TERMS</w:t>
            </w:r>
          </w:p>
        </w:tc>
        <w:tc>
          <w:tcPr>
            <w:tcW w:w="2641" w:type="dxa"/>
          </w:tcPr>
          <w:p w:rsidR="00597F62" w:rsidRPr="00597F62" w:rsidRDefault="00597F62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97F6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Manulife % INTEREST</w:t>
            </w:r>
          </w:p>
        </w:tc>
        <w:tc>
          <w:tcPr>
            <w:tcW w:w="2641" w:type="dxa"/>
          </w:tcPr>
          <w:p w:rsidR="00597F62" w:rsidRPr="00597F62" w:rsidRDefault="00597F62" w:rsidP="00464F79">
            <w:pP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597F62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IA % INTEREST</w:t>
            </w:r>
          </w:p>
        </w:tc>
      </w:tr>
      <w:tr w:rsidR="00597F62" w:rsidTr="00597F62">
        <w:tc>
          <w:tcPr>
            <w:tcW w:w="2640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yr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1.15 %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1.15 %</w:t>
            </w:r>
          </w:p>
        </w:tc>
      </w:tr>
      <w:tr w:rsidR="00597F62" w:rsidTr="00597F62">
        <w:tc>
          <w:tcPr>
            <w:tcW w:w="2640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yr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1.35 %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1.65 %</w:t>
            </w:r>
          </w:p>
        </w:tc>
      </w:tr>
      <w:tr w:rsidR="00597F62" w:rsidTr="00597F62">
        <w:tc>
          <w:tcPr>
            <w:tcW w:w="2640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yr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1.45 %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1.80 %</w:t>
            </w:r>
          </w:p>
        </w:tc>
      </w:tr>
      <w:tr w:rsidR="00597F62" w:rsidTr="00597F62">
        <w:tc>
          <w:tcPr>
            <w:tcW w:w="2640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yr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1.60 %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1.75 %</w:t>
            </w:r>
          </w:p>
        </w:tc>
      </w:tr>
      <w:tr w:rsidR="00597F62" w:rsidTr="00597F62">
        <w:tc>
          <w:tcPr>
            <w:tcW w:w="2640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 yr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1.70 %</w:t>
            </w:r>
          </w:p>
        </w:tc>
        <w:tc>
          <w:tcPr>
            <w:tcW w:w="2641" w:type="dxa"/>
          </w:tcPr>
          <w:p w:rsidR="00597F62" w:rsidRDefault="00597F62" w:rsidP="00464F7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1.55 %</w:t>
            </w:r>
          </w:p>
        </w:tc>
      </w:tr>
    </w:tbl>
    <w:p w:rsidR="00597F62" w:rsidRPr="00597F62" w:rsidRDefault="00597F62" w:rsidP="00464F79">
      <w:pPr>
        <w:spacing w:after="0" w:line="240" w:lineRule="auto"/>
        <w:rPr>
          <w:rFonts w:ascii="Times New Roman" w:eastAsia="Times New Roman" w:hAnsi="Times New Roman" w:cs="Times New Roman"/>
          <w:color w:val="E36C0A"/>
          <w:sz w:val="19"/>
          <w:szCs w:val="19"/>
        </w:rPr>
      </w:pPr>
    </w:p>
    <w:p w:rsidR="00C859D8" w:rsidRPr="00597F62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19"/>
          <w:szCs w:val="19"/>
        </w:rPr>
      </w:pPr>
      <w:r w:rsidRPr="00597F62">
        <w:rPr>
          <w:rFonts w:ascii="Times New Roman" w:eastAsia="Times New Roman" w:hAnsi="Times New Roman" w:cs="Times New Roman"/>
          <w:b/>
          <w:color w:val="E36C0A"/>
          <w:sz w:val="19"/>
          <w:szCs w:val="19"/>
        </w:rPr>
        <w:t>Market link GIC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5773A1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Capit</w:t>
      </w:r>
      <w:r w:rsidR="005773A1">
        <w:rPr>
          <w:rFonts w:ascii="Times New Roman" w:eastAsia="Times New Roman" w:hAnsi="Times New Roman" w:cs="Times New Roman"/>
          <w:color w:val="000000"/>
          <w:sz w:val="27"/>
          <w:szCs w:val="27"/>
        </w:rPr>
        <w:t>al guarantee with variable R/R </w:t>
      </w: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  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Desjardin Financial security - R/R varies from 0% to 30%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C859D8" w:rsidRDefault="00A010F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9" w:tgtFrame="_blank" w:history="1">
        <w:r w:rsidR="00C859D8" w:rsidRPr="00C859D8">
          <w:rPr>
            <w:rFonts w:ascii="Times New Roman" w:eastAsia="Times New Roman" w:hAnsi="Times New Roman" w:cs="Times New Roman"/>
            <w:color w:val="196AD4"/>
            <w:sz w:val="19"/>
            <w:szCs w:val="19"/>
            <w:u w:val="single"/>
          </w:rPr>
          <w:t>https://www.youtube.com/watch? v=qIEM0VlfY6k</w:t>
        </w:r>
      </w:hyperlink>
    </w:p>
    <w:p w:rsidR="00C859D8" w:rsidRPr="00C859D8" w:rsidRDefault="00A010F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hyperlink r:id="rId10" w:tgtFrame="_blank" w:history="1">
        <w:r w:rsidR="00C859D8" w:rsidRPr="00C859D8">
          <w:rPr>
            <w:rFonts w:ascii="Times New Roman" w:eastAsia="Times New Roman" w:hAnsi="Times New Roman" w:cs="Times New Roman"/>
            <w:color w:val="196AD4"/>
            <w:sz w:val="19"/>
            <w:szCs w:val="19"/>
            <w:u w:val="single"/>
          </w:rPr>
          <w:t>https://www.desjardinslifeinsu rance.com/</w:t>
        </w:r>
        <w:proofErr w:type="spellStart"/>
        <w:r w:rsidR="00C859D8" w:rsidRPr="00C859D8">
          <w:rPr>
            <w:rFonts w:ascii="Times New Roman" w:eastAsia="Times New Roman" w:hAnsi="Times New Roman" w:cs="Times New Roman"/>
            <w:color w:val="196AD4"/>
            <w:sz w:val="19"/>
            <w:szCs w:val="19"/>
            <w:u w:val="single"/>
          </w:rPr>
          <w:t>en</w:t>
        </w:r>
        <w:proofErr w:type="spellEnd"/>
        <w:r w:rsidR="00C859D8" w:rsidRPr="00C859D8">
          <w:rPr>
            <w:rFonts w:ascii="Times New Roman" w:eastAsia="Times New Roman" w:hAnsi="Times New Roman" w:cs="Times New Roman"/>
            <w:color w:val="196AD4"/>
            <w:sz w:val="19"/>
            <w:szCs w:val="19"/>
            <w:u w:val="single"/>
          </w:rPr>
          <w:t>/simulators/ Documents/GA-allocation- return/</w:t>
        </w:r>
        <w:proofErr w:type="spellStart"/>
        <w:r w:rsidR="00C859D8" w:rsidRPr="00C859D8">
          <w:rPr>
            <w:rFonts w:ascii="Times New Roman" w:eastAsia="Times New Roman" w:hAnsi="Times New Roman" w:cs="Times New Roman"/>
            <w:color w:val="196AD4"/>
            <w:sz w:val="19"/>
            <w:szCs w:val="19"/>
            <w:u w:val="single"/>
          </w:rPr>
          <w:t>index_en.html?WT.mc_id</w:t>
        </w:r>
        <w:proofErr w:type="spellEnd"/>
        <w:r w:rsidR="00C859D8" w:rsidRPr="00C859D8">
          <w:rPr>
            <w:rFonts w:ascii="Times New Roman" w:eastAsia="Times New Roman" w:hAnsi="Times New Roman" w:cs="Times New Roman"/>
            <w:color w:val="196AD4"/>
            <w:sz w:val="19"/>
            <w:szCs w:val="19"/>
            <w:u w:val="single"/>
          </w:rPr>
          <w:t>= 5214</w:t>
        </w:r>
      </w:hyperlink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859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Performance of market link GIC fund is attached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5773A1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0"/>
          <w:szCs w:val="19"/>
        </w:rPr>
      </w:pPr>
      <w:r w:rsidRPr="005773A1">
        <w:rPr>
          <w:rFonts w:ascii="Times New Roman" w:eastAsia="Times New Roman" w:hAnsi="Times New Roman" w:cs="Times New Roman"/>
          <w:b/>
          <w:bCs/>
          <w:color w:val="548DD4"/>
          <w:sz w:val="20"/>
          <w:szCs w:val="19"/>
        </w:rPr>
        <w:t xml:space="preserve">2.  Segregated Fund </w:t>
      </w:r>
      <w:proofErr w:type="gramStart"/>
      <w:r w:rsidRPr="005773A1">
        <w:rPr>
          <w:rFonts w:ascii="Times New Roman" w:eastAsia="Times New Roman" w:hAnsi="Times New Roman" w:cs="Times New Roman"/>
          <w:b/>
          <w:bCs/>
          <w:color w:val="548DD4"/>
          <w:sz w:val="20"/>
          <w:szCs w:val="19"/>
        </w:rPr>
        <w:t>( guaranteed</w:t>
      </w:r>
      <w:proofErr w:type="gramEnd"/>
      <w:r w:rsidRPr="005773A1">
        <w:rPr>
          <w:rFonts w:ascii="Times New Roman" w:eastAsia="Times New Roman" w:hAnsi="Times New Roman" w:cs="Times New Roman"/>
          <w:b/>
          <w:bCs/>
          <w:color w:val="548DD4"/>
          <w:sz w:val="20"/>
          <w:szCs w:val="19"/>
        </w:rPr>
        <w:t xml:space="preserve"> investment fund)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C859D8" w:rsidRDefault="005773A1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100/100, 75/100, 75/75 (M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aturity guarantee/ death guarantee)</w:t>
      </w:r>
    </w:p>
    <w:p w:rsidR="00C859D8" w:rsidRPr="00C859D8" w:rsidRDefault="005773A1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Those who have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 term goal of 15 years to 25 years or until retirement 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especially who 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are near to age 50 but not completed 50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 yet, they can select Canada life/E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mpire life Segregated fund for their 100% Death guarantee and 100% ca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pital guarantee after 15 years plus growth. Additional advantage of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fund is 1.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 probate by </w:t>
      </w:r>
      <w:proofErr w:type="gramStart"/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pass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859D8"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* Creditor protection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859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Performance of</w:t>
      </w:r>
      <w:proofErr w:type="gramStart"/>
      <w:r w:rsidRPr="00C859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 Canada</w:t>
      </w:r>
      <w:proofErr w:type="gramEnd"/>
      <w:r w:rsidRPr="00C859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life  is  attached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5773A1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0"/>
          <w:szCs w:val="19"/>
        </w:rPr>
      </w:pPr>
      <w:r w:rsidRPr="005773A1">
        <w:rPr>
          <w:rFonts w:ascii="Times New Roman" w:eastAsia="Times New Roman" w:hAnsi="Times New Roman" w:cs="Times New Roman"/>
          <w:b/>
          <w:bCs/>
          <w:color w:val="548DD4"/>
          <w:sz w:val="20"/>
          <w:szCs w:val="19"/>
        </w:rPr>
        <w:t>3. Mutual Fund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859D8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  <w:r w:rsidR="005773A1">
        <w:rPr>
          <w:rFonts w:ascii="Times New Roman" w:eastAsia="Times New Roman" w:hAnsi="Times New Roman" w:cs="Times New Roman"/>
          <w:color w:val="000000"/>
          <w:sz w:val="27"/>
          <w:szCs w:val="27"/>
        </w:rPr>
        <w:t>Those who have</w:t>
      </w: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 term and short term goal between 2 to 5yrs can</w:t>
      </w:r>
      <w:r w:rsidR="005773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invest in mutual funds. M</w:t>
      </w: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utual funds and Segregated funds are simil</w:t>
      </w:r>
      <w:r w:rsidR="005773A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 but the difference is that mutual funds has less MER compare to </w:t>
      </w:r>
      <w:proofErr w:type="spellStart"/>
      <w:r w:rsidR="005773A1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eg</w:t>
      </w:r>
      <w:proofErr w:type="spellEnd"/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funds against that there is no capital guar</w:t>
      </w:r>
      <w:r w:rsidR="005773A1">
        <w:rPr>
          <w:rFonts w:ascii="Times New Roman" w:eastAsia="Times New Roman" w:hAnsi="Times New Roman" w:cs="Times New Roman"/>
          <w:color w:val="000000"/>
          <w:sz w:val="27"/>
          <w:szCs w:val="27"/>
        </w:rPr>
        <w:t>antee on maturity or on death. Y</w:t>
      </w: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>oung people can invest in mutual fund</w:t>
      </w:r>
      <w:r w:rsidR="005773A1">
        <w:rPr>
          <w:rFonts w:ascii="Times New Roman" w:eastAsia="Times New Roman" w:hAnsi="Times New Roman" w:cs="Times New Roman"/>
          <w:color w:val="000000"/>
          <w:sz w:val="27"/>
          <w:szCs w:val="27"/>
        </w:rPr>
        <w:t>s for more returns and for wide selection</w:t>
      </w:r>
      <w:r w:rsidRPr="00C859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funds.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C859D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Performance of mutual funds is attached</w:t>
      </w:r>
    </w:p>
    <w:p w:rsidR="00C859D8" w:rsidRPr="00C859D8" w:rsidRDefault="00C859D8" w:rsidP="00464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92FDE" w:rsidRPr="005773A1" w:rsidRDefault="00C859D8" w:rsidP="00577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5773A1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</w:rPr>
        <w:t>Call us today at 416 846 5837 and make an appointment for your Retirement planning</w:t>
      </w:r>
      <w:r w:rsidR="00D9730E" w:rsidRPr="005773A1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</w:p>
    <w:sectPr w:rsidR="00992FDE" w:rsidRPr="005773A1" w:rsidSect="001106A7">
      <w:pgSz w:w="12240" w:h="15840"/>
      <w:pgMar w:top="284" w:right="90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F8" w:rsidRDefault="00A010F8" w:rsidP="0086687A">
      <w:pPr>
        <w:spacing w:after="0" w:line="240" w:lineRule="auto"/>
      </w:pPr>
      <w:r>
        <w:separator/>
      </w:r>
    </w:p>
  </w:endnote>
  <w:endnote w:type="continuationSeparator" w:id="0">
    <w:p w:rsidR="00A010F8" w:rsidRDefault="00A010F8" w:rsidP="0086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F8" w:rsidRDefault="00A010F8" w:rsidP="0086687A">
      <w:pPr>
        <w:spacing w:after="0" w:line="240" w:lineRule="auto"/>
      </w:pPr>
      <w:r>
        <w:separator/>
      </w:r>
    </w:p>
  </w:footnote>
  <w:footnote w:type="continuationSeparator" w:id="0">
    <w:p w:rsidR="00A010F8" w:rsidRDefault="00A010F8" w:rsidP="0086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CBD"/>
    <w:multiLevelType w:val="hybridMultilevel"/>
    <w:tmpl w:val="B380D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53B9"/>
    <w:multiLevelType w:val="multilevel"/>
    <w:tmpl w:val="546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F035E"/>
    <w:multiLevelType w:val="multilevel"/>
    <w:tmpl w:val="A66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E084E"/>
    <w:multiLevelType w:val="hybridMultilevel"/>
    <w:tmpl w:val="6BC6F70A"/>
    <w:lvl w:ilvl="0" w:tplc="10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6CE43612"/>
    <w:multiLevelType w:val="hybridMultilevel"/>
    <w:tmpl w:val="3C6099C0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25B"/>
    <w:rsid w:val="000056C4"/>
    <w:rsid w:val="00005C91"/>
    <w:rsid w:val="000107A4"/>
    <w:rsid w:val="00011F1A"/>
    <w:rsid w:val="00017A06"/>
    <w:rsid w:val="00020220"/>
    <w:rsid w:val="000247CE"/>
    <w:rsid w:val="00025796"/>
    <w:rsid w:val="00030926"/>
    <w:rsid w:val="00030B1B"/>
    <w:rsid w:val="000313F2"/>
    <w:rsid w:val="000323FC"/>
    <w:rsid w:val="00032634"/>
    <w:rsid w:val="00032645"/>
    <w:rsid w:val="000357CA"/>
    <w:rsid w:val="00036C67"/>
    <w:rsid w:val="00040504"/>
    <w:rsid w:val="00040614"/>
    <w:rsid w:val="000415F4"/>
    <w:rsid w:val="000460E4"/>
    <w:rsid w:val="00047FB8"/>
    <w:rsid w:val="00052FEF"/>
    <w:rsid w:val="0005515A"/>
    <w:rsid w:val="00056375"/>
    <w:rsid w:val="0005699E"/>
    <w:rsid w:val="0005715F"/>
    <w:rsid w:val="0006271F"/>
    <w:rsid w:val="00064510"/>
    <w:rsid w:val="00070000"/>
    <w:rsid w:val="00072E9F"/>
    <w:rsid w:val="00075637"/>
    <w:rsid w:val="000759F1"/>
    <w:rsid w:val="00076A91"/>
    <w:rsid w:val="00080BEB"/>
    <w:rsid w:val="00083838"/>
    <w:rsid w:val="00083C17"/>
    <w:rsid w:val="00086217"/>
    <w:rsid w:val="000876A1"/>
    <w:rsid w:val="00091255"/>
    <w:rsid w:val="00092B19"/>
    <w:rsid w:val="00094E89"/>
    <w:rsid w:val="00095B30"/>
    <w:rsid w:val="000A051A"/>
    <w:rsid w:val="000A289E"/>
    <w:rsid w:val="000A4B56"/>
    <w:rsid w:val="000B2435"/>
    <w:rsid w:val="000B26F3"/>
    <w:rsid w:val="000B43B0"/>
    <w:rsid w:val="000B6240"/>
    <w:rsid w:val="000B6676"/>
    <w:rsid w:val="000C05D6"/>
    <w:rsid w:val="000C0A50"/>
    <w:rsid w:val="000C2C57"/>
    <w:rsid w:val="000C7809"/>
    <w:rsid w:val="000D0089"/>
    <w:rsid w:val="000D7396"/>
    <w:rsid w:val="000E0523"/>
    <w:rsid w:val="000E056E"/>
    <w:rsid w:val="000E4A83"/>
    <w:rsid w:val="000E7E40"/>
    <w:rsid w:val="000F1D00"/>
    <w:rsid w:val="000F1E67"/>
    <w:rsid w:val="000F2438"/>
    <w:rsid w:val="000F388E"/>
    <w:rsid w:val="000F3C61"/>
    <w:rsid w:val="001006EB"/>
    <w:rsid w:val="00100F82"/>
    <w:rsid w:val="00110432"/>
    <w:rsid w:val="001106A7"/>
    <w:rsid w:val="00114BB5"/>
    <w:rsid w:val="0011568E"/>
    <w:rsid w:val="001157B2"/>
    <w:rsid w:val="00125B60"/>
    <w:rsid w:val="00130DB2"/>
    <w:rsid w:val="00130EA3"/>
    <w:rsid w:val="0013134F"/>
    <w:rsid w:val="00133C98"/>
    <w:rsid w:val="00152051"/>
    <w:rsid w:val="00152281"/>
    <w:rsid w:val="001528BA"/>
    <w:rsid w:val="0015290D"/>
    <w:rsid w:val="0015387E"/>
    <w:rsid w:val="00153AF0"/>
    <w:rsid w:val="00153B8F"/>
    <w:rsid w:val="00162D4D"/>
    <w:rsid w:val="00163246"/>
    <w:rsid w:val="001636BD"/>
    <w:rsid w:val="00164212"/>
    <w:rsid w:val="0016603A"/>
    <w:rsid w:val="00167413"/>
    <w:rsid w:val="001730D2"/>
    <w:rsid w:val="001731F9"/>
    <w:rsid w:val="00173299"/>
    <w:rsid w:val="0017432F"/>
    <w:rsid w:val="001807B5"/>
    <w:rsid w:val="00180BC8"/>
    <w:rsid w:val="00182E65"/>
    <w:rsid w:val="001912C0"/>
    <w:rsid w:val="001929B9"/>
    <w:rsid w:val="001929F4"/>
    <w:rsid w:val="001933E1"/>
    <w:rsid w:val="001935DA"/>
    <w:rsid w:val="001943D6"/>
    <w:rsid w:val="00196844"/>
    <w:rsid w:val="001A32F9"/>
    <w:rsid w:val="001A563F"/>
    <w:rsid w:val="001B2861"/>
    <w:rsid w:val="001B46E3"/>
    <w:rsid w:val="001B4BD3"/>
    <w:rsid w:val="001C10E7"/>
    <w:rsid w:val="001C1B37"/>
    <w:rsid w:val="001C6792"/>
    <w:rsid w:val="001C7746"/>
    <w:rsid w:val="001D0654"/>
    <w:rsid w:val="001D0983"/>
    <w:rsid w:val="001D1E5E"/>
    <w:rsid w:val="001D3596"/>
    <w:rsid w:val="001D4ADF"/>
    <w:rsid w:val="001E350F"/>
    <w:rsid w:val="001E612B"/>
    <w:rsid w:val="001E61DB"/>
    <w:rsid w:val="001E6F20"/>
    <w:rsid w:val="001E7EDA"/>
    <w:rsid w:val="001F2B57"/>
    <w:rsid w:val="001F5850"/>
    <w:rsid w:val="00201427"/>
    <w:rsid w:val="0020166D"/>
    <w:rsid w:val="00205CF5"/>
    <w:rsid w:val="00207E0E"/>
    <w:rsid w:val="00212147"/>
    <w:rsid w:val="00220690"/>
    <w:rsid w:val="00221F7A"/>
    <w:rsid w:val="00224E04"/>
    <w:rsid w:val="00225142"/>
    <w:rsid w:val="00233230"/>
    <w:rsid w:val="00240AB5"/>
    <w:rsid w:val="00241A0D"/>
    <w:rsid w:val="00241A28"/>
    <w:rsid w:val="002429A6"/>
    <w:rsid w:val="00244221"/>
    <w:rsid w:val="002478F2"/>
    <w:rsid w:val="00247CC5"/>
    <w:rsid w:val="00254F1D"/>
    <w:rsid w:val="00256CD1"/>
    <w:rsid w:val="00257B71"/>
    <w:rsid w:val="00261A37"/>
    <w:rsid w:val="00261F7C"/>
    <w:rsid w:val="00262183"/>
    <w:rsid w:val="00262503"/>
    <w:rsid w:val="00262623"/>
    <w:rsid w:val="002633FB"/>
    <w:rsid w:val="00264B7A"/>
    <w:rsid w:val="002728C8"/>
    <w:rsid w:val="00273054"/>
    <w:rsid w:val="00274530"/>
    <w:rsid w:val="002752C6"/>
    <w:rsid w:val="002754E5"/>
    <w:rsid w:val="00275510"/>
    <w:rsid w:val="002823F5"/>
    <w:rsid w:val="002850EF"/>
    <w:rsid w:val="002855CE"/>
    <w:rsid w:val="002874C4"/>
    <w:rsid w:val="00297701"/>
    <w:rsid w:val="002A01DB"/>
    <w:rsid w:val="002A2E13"/>
    <w:rsid w:val="002A347D"/>
    <w:rsid w:val="002A5AC5"/>
    <w:rsid w:val="002A5CDC"/>
    <w:rsid w:val="002A6FD0"/>
    <w:rsid w:val="002B49CD"/>
    <w:rsid w:val="002B518A"/>
    <w:rsid w:val="002B57A6"/>
    <w:rsid w:val="002B5FD0"/>
    <w:rsid w:val="002B6F34"/>
    <w:rsid w:val="002C3FEA"/>
    <w:rsid w:val="002D6099"/>
    <w:rsid w:val="002E1258"/>
    <w:rsid w:val="002E4B73"/>
    <w:rsid w:val="002E63DE"/>
    <w:rsid w:val="002F04DD"/>
    <w:rsid w:val="002F08B0"/>
    <w:rsid w:val="002F451A"/>
    <w:rsid w:val="00303A4D"/>
    <w:rsid w:val="00310A44"/>
    <w:rsid w:val="00313CCB"/>
    <w:rsid w:val="00313CF2"/>
    <w:rsid w:val="00315ACA"/>
    <w:rsid w:val="003164CF"/>
    <w:rsid w:val="00317EA9"/>
    <w:rsid w:val="0032088B"/>
    <w:rsid w:val="0032704F"/>
    <w:rsid w:val="00330587"/>
    <w:rsid w:val="00332DA6"/>
    <w:rsid w:val="00341677"/>
    <w:rsid w:val="00342CFE"/>
    <w:rsid w:val="00352370"/>
    <w:rsid w:val="00352858"/>
    <w:rsid w:val="00353484"/>
    <w:rsid w:val="00360E39"/>
    <w:rsid w:val="00362552"/>
    <w:rsid w:val="0036449A"/>
    <w:rsid w:val="003676AD"/>
    <w:rsid w:val="00370486"/>
    <w:rsid w:val="00372A74"/>
    <w:rsid w:val="00373F3A"/>
    <w:rsid w:val="00377D25"/>
    <w:rsid w:val="00383C68"/>
    <w:rsid w:val="003854A4"/>
    <w:rsid w:val="00391232"/>
    <w:rsid w:val="00391579"/>
    <w:rsid w:val="003A57B7"/>
    <w:rsid w:val="003A5EEA"/>
    <w:rsid w:val="003A6E37"/>
    <w:rsid w:val="003B20AC"/>
    <w:rsid w:val="003B2FB9"/>
    <w:rsid w:val="003B4767"/>
    <w:rsid w:val="003B6475"/>
    <w:rsid w:val="003C3ADB"/>
    <w:rsid w:val="003C483B"/>
    <w:rsid w:val="003C5AC5"/>
    <w:rsid w:val="003D67A2"/>
    <w:rsid w:val="003E39CF"/>
    <w:rsid w:val="003F237C"/>
    <w:rsid w:val="003F2745"/>
    <w:rsid w:val="004014D9"/>
    <w:rsid w:val="00404240"/>
    <w:rsid w:val="00406A64"/>
    <w:rsid w:val="004077DB"/>
    <w:rsid w:val="00411049"/>
    <w:rsid w:val="0042226D"/>
    <w:rsid w:val="004222F2"/>
    <w:rsid w:val="004237F8"/>
    <w:rsid w:val="004329BD"/>
    <w:rsid w:val="004330C5"/>
    <w:rsid w:val="00442F2F"/>
    <w:rsid w:val="004449E1"/>
    <w:rsid w:val="00444A49"/>
    <w:rsid w:val="00451F05"/>
    <w:rsid w:val="00452EF1"/>
    <w:rsid w:val="00457F4F"/>
    <w:rsid w:val="00464F79"/>
    <w:rsid w:val="00471B23"/>
    <w:rsid w:val="00471C47"/>
    <w:rsid w:val="00471D41"/>
    <w:rsid w:val="00475348"/>
    <w:rsid w:val="0047735A"/>
    <w:rsid w:val="00481367"/>
    <w:rsid w:val="00482AB1"/>
    <w:rsid w:val="004844E2"/>
    <w:rsid w:val="004846C1"/>
    <w:rsid w:val="00484989"/>
    <w:rsid w:val="0048604E"/>
    <w:rsid w:val="004873EA"/>
    <w:rsid w:val="00493041"/>
    <w:rsid w:val="0049455F"/>
    <w:rsid w:val="0049546D"/>
    <w:rsid w:val="0049794A"/>
    <w:rsid w:val="004A0CC9"/>
    <w:rsid w:val="004A1DF6"/>
    <w:rsid w:val="004A5AA8"/>
    <w:rsid w:val="004A5E35"/>
    <w:rsid w:val="004A6358"/>
    <w:rsid w:val="004B3810"/>
    <w:rsid w:val="004C18C1"/>
    <w:rsid w:val="004C2A78"/>
    <w:rsid w:val="004C4457"/>
    <w:rsid w:val="004C60D2"/>
    <w:rsid w:val="004D22F1"/>
    <w:rsid w:val="004D2931"/>
    <w:rsid w:val="004E063D"/>
    <w:rsid w:val="004E195F"/>
    <w:rsid w:val="004E19C1"/>
    <w:rsid w:val="004E24D2"/>
    <w:rsid w:val="004E24E1"/>
    <w:rsid w:val="004E4F12"/>
    <w:rsid w:val="004E77CB"/>
    <w:rsid w:val="004F2490"/>
    <w:rsid w:val="004F2626"/>
    <w:rsid w:val="004F2665"/>
    <w:rsid w:val="004F284A"/>
    <w:rsid w:val="004F75E7"/>
    <w:rsid w:val="004F7D8F"/>
    <w:rsid w:val="0050014D"/>
    <w:rsid w:val="00503265"/>
    <w:rsid w:val="005041ED"/>
    <w:rsid w:val="005046F2"/>
    <w:rsid w:val="00505447"/>
    <w:rsid w:val="00507F5F"/>
    <w:rsid w:val="00507F89"/>
    <w:rsid w:val="00517382"/>
    <w:rsid w:val="00517947"/>
    <w:rsid w:val="00520EB9"/>
    <w:rsid w:val="00527817"/>
    <w:rsid w:val="00531500"/>
    <w:rsid w:val="005332CA"/>
    <w:rsid w:val="00533F22"/>
    <w:rsid w:val="005442A2"/>
    <w:rsid w:val="0054789C"/>
    <w:rsid w:val="00552D18"/>
    <w:rsid w:val="00554097"/>
    <w:rsid w:val="00562B5C"/>
    <w:rsid w:val="005635F9"/>
    <w:rsid w:val="00565EFA"/>
    <w:rsid w:val="00566946"/>
    <w:rsid w:val="005773A1"/>
    <w:rsid w:val="005811EC"/>
    <w:rsid w:val="00586BFB"/>
    <w:rsid w:val="00587171"/>
    <w:rsid w:val="005904E2"/>
    <w:rsid w:val="005943B2"/>
    <w:rsid w:val="005945A1"/>
    <w:rsid w:val="005951AE"/>
    <w:rsid w:val="00597A0B"/>
    <w:rsid w:val="00597F62"/>
    <w:rsid w:val="005A09B4"/>
    <w:rsid w:val="005B25BB"/>
    <w:rsid w:val="005B25C1"/>
    <w:rsid w:val="005B2B80"/>
    <w:rsid w:val="005C31DF"/>
    <w:rsid w:val="005C3869"/>
    <w:rsid w:val="005C3AE9"/>
    <w:rsid w:val="005C4BDF"/>
    <w:rsid w:val="005C63C2"/>
    <w:rsid w:val="005D0CC9"/>
    <w:rsid w:val="005D10EA"/>
    <w:rsid w:val="005D2AD9"/>
    <w:rsid w:val="005E370C"/>
    <w:rsid w:val="005E39D3"/>
    <w:rsid w:val="005E5861"/>
    <w:rsid w:val="005E5AC8"/>
    <w:rsid w:val="005E6BA1"/>
    <w:rsid w:val="005E79F8"/>
    <w:rsid w:val="005F3E8E"/>
    <w:rsid w:val="005F575A"/>
    <w:rsid w:val="00605332"/>
    <w:rsid w:val="0060651D"/>
    <w:rsid w:val="00607AC7"/>
    <w:rsid w:val="00610F69"/>
    <w:rsid w:val="006123F3"/>
    <w:rsid w:val="00615C46"/>
    <w:rsid w:val="0062287D"/>
    <w:rsid w:val="0062442E"/>
    <w:rsid w:val="00625962"/>
    <w:rsid w:val="00631DCB"/>
    <w:rsid w:val="006416E0"/>
    <w:rsid w:val="00642200"/>
    <w:rsid w:val="00642FAD"/>
    <w:rsid w:val="0064368D"/>
    <w:rsid w:val="0064613E"/>
    <w:rsid w:val="00646A18"/>
    <w:rsid w:val="00647061"/>
    <w:rsid w:val="0064737C"/>
    <w:rsid w:val="006476CC"/>
    <w:rsid w:val="00650C63"/>
    <w:rsid w:val="006560FA"/>
    <w:rsid w:val="00660B0E"/>
    <w:rsid w:val="00671CF9"/>
    <w:rsid w:val="0067377C"/>
    <w:rsid w:val="00673835"/>
    <w:rsid w:val="00676AAE"/>
    <w:rsid w:val="006777D6"/>
    <w:rsid w:val="006779D4"/>
    <w:rsid w:val="00685B32"/>
    <w:rsid w:val="00687DFD"/>
    <w:rsid w:val="00690A79"/>
    <w:rsid w:val="006A298C"/>
    <w:rsid w:val="006A3B7A"/>
    <w:rsid w:val="006A4ABE"/>
    <w:rsid w:val="006A53BD"/>
    <w:rsid w:val="006A656A"/>
    <w:rsid w:val="006A6D63"/>
    <w:rsid w:val="006B0135"/>
    <w:rsid w:val="006B124B"/>
    <w:rsid w:val="006B3EFF"/>
    <w:rsid w:val="006B63DF"/>
    <w:rsid w:val="006B6D69"/>
    <w:rsid w:val="006C0C5A"/>
    <w:rsid w:val="006C2D55"/>
    <w:rsid w:val="006C2EDA"/>
    <w:rsid w:val="006C3E85"/>
    <w:rsid w:val="006C4858"/>
    <w:rsid w:val="006C699E"/>
    <w:rsid w:val="006C71E4"/>
    <w:rsid w:val="006D17F8"/>
    <w:rsid w:val="006D382F"/>
    <w:rsid w:val="006D40D9"/>
    <w:rsid w:val="006D4251"/>
    <w:rsid w:val="006D44C2"/>
    <w:rsid w:val="006E158A"/>
    <w:rsid w:val="006E18A1"/>
    <w:rsid w:val="006E4C4C"/>
    <w:rsid w:val="006E5650"/>
    <w:rsid w:val="006E60AD"/>
    <w:rsid w:val="006E6D29"/>
    <w:rsid w:val="006F48F9"/>
    <w:rsid w:val="006F6500"/>
    <w:rsid w:val="007024B8"/>
    <w:rsid w:val="0071016E"/>
    <w:rsid w:val="007147D4"/>
    <w:rsid w:val="00723E96"/>
    <w:rsid w:val="00723EC7"/>
    <w:rsid w:val="00725734"/>
    <w:rsid w:val="007336AA"/>
    <w:rsid w:val="00737337"/>
    <w:rsid w:val="00737CD4"/>
    <w:rsid w:val="00742517"/>
    <w:rsid w:val="00742898"/>
    <w:rsid w:val="00742C95"/>
    <w:rsid w:val="00743437"/>
    <w:rsid w:val="00746747"/>
    <w:rsid w:val="00750487"/>
    <w:rsid w:val="007574CF"/>
    <w:rsid w:val="007625E1"/>
    <w:rsid w:val="00766331"/>
    <w:rsid w:val="00770640"/>
    <w:rsid w:val="00771860"/>
    <w:rsid w:val="007719AE"/>
    <w:rsid w:val="007828C6"/>
    <w:rsid w:val="0078295F"/>
    <w:rsid w:val="007865E9"/>
    <w:rsid w:val="00790706"/>
    <w:rsid w:val="007926FE"/>
    <w:rsid w:val="00794AAE"/>
    <w:rsid w:val="007A0334"/>
    <w:rsid w:val="007A14BE"/>
    <w:rsid w:val="007A1C9E"/>
    <w:rsid w:val="007A2370"/>
    <w:rsid w:val="007A44FB"/>
    <w:rsid w:val="007B0ACE"/>
    <w:rsid w:val="007B1FE8"/>
    <w:rsid w:val="007B6A71"/>
    <w:rsid w:val="007C0ECD"/>
    <w:rsid w:val="007C4C7D"/>
    <w:rsid w:val="007C5071"/>
    <w:rsid w:val="007D12B7"/>
    <w:rsid w:val="007D3814"/>
    <w:rsid w:val="007E12D0"/>
    <w:rsid w:val="007E296E"/>
    <w:rsid w:val="007F1B8F"/>
    <w:rsid w:val="007F3A28"/>
    <w:rsid w:val="007F3A39"/>
    <w:rsid w:val="007F3CF5"/>
    <w:rsid w:val="007F3EC3"/>
    <w:rsid w:val="007F7355"/>
    <w:rsid w:val="00800703"/>
    <w:rsid w:val="00800F14"/>
    <w:rsid w:val="0080168C"/>
    <w:rsid w:val="0080438C"/>
    <w:rsid w:val="00810967"/>
    <w:rsid w:val="00814973"/>
    <w:rsid w:val="00814DB1"/>
    <w:rsid w:val="00816F16"/>
    <w:rsid w:val="00825241"/>
    <w:rsid w:val="00840BBC"/>
    <w:rsid w:val="00840C98"/>
    <w:rsid w:val="00847122"/>
    <w:rsid w:val="00857279"/>
    <w:rsid w:val="00860707"/>
    <w:rsid w:val="0086414C"/>
    <w:rsid w:val="00864B3A"/>
    <w:rsid w:val="0086687A"/>
    <w:rsid w:val="00870297"/>
    <w:rsid w:val="008757E1"/>
    <w:rsid w:val="0088300C"/>
    <w:rsid w:val="00890FFE"/>
    <w:rsid w:val="00891482"/>
    <w:rsid w:val="00892FC8"/>
    <w:rsid w:val="00895CC8"/>
    <w:rsid w:val="008A1A18"/>
    <w:rsid w:val="008A5005"/>
    <w:rsid w:val="008B037E"/>
    <w:rsid w:val="008B4504"/>
    <w:rsid w:val="008B45B3"/>
    <w:rsid w:val="008C2BAB"/>
    <w:rsid w:val="008C37E2"/>
    <w:rsid w:val="008C6EF6"/>
    <w:rsid w:val="008D45A6"/>
    <w:rsid w:val="008D6D35"/>
    <w:rsid w:val="008D6DF5"/>
    <w:rsid w:val="008E3C45"/>
    <w:rsid w:val="008E416F"/>
    <w:rsid w:val="008E539E"/>
    <w:rsid w:val="008F0A32"/>
    <w:rsid w:val="008F4B15"/>
    <w:rsid w:val="009009E1"/>
    <w:rsid w:val="009062AB"/>
    <w:rsid w:val="00907A96"/>
    <w:rsid w:val="00907B6F"/>
    <w:rsid w:val="00911113"/>
    <w:rsid w:val="009112F3"/>
    <w:rsid w:val="00915B70"/>
    <w:rsid w:val="00917A5E"/>
    <w:rsid w:val="00922070"/>
    <w:rsid w:val="009336E5"/>
    <w:rsid w:val="009359CD"/>
    <w:rsid w:val="00940ADC"/>
    <w:rsid w:val="00942723"/>
    <w:rsid w:val="00952716"/>
    <w:rsid w:val="00956216"/>
    <w:rsid w:val="00956910"/>
    <w:rsid w:val="00956FD4"/>
    <w:rsid w:val="009570A2"/>
    <w:rsid w:val="009577EA"/>
    <w:rsid w:val="00960CFF"/>
    <w:rsid w:val="009657B3"/>
    <w:rsid w:val="009670A2"/>
    <w:rsid w:val="00973C22"/>
    <w:rsid w:val="00980499"/>
    <w:rsid w:val="009842D4"/>
    <w:rsid w:val="0098448C"/>
    <w:rsid w:val="00992FDE"/>
    <w:rsid w:val="00996A00"/>
    <w:rsid w:val="0099744B"/>
    <w:rsid w:val="0099748A"/>
    <w:rsid w:val="009A2341"/>
    <w:rsid w:val="009A4A0F"/>
    <w:rsid w:val="009B2294"/>
    <w:rsid w:val="009B3C2F"/>
    <w:rsid w:val="009B5090"/>
    <w:rsid w:val="009B5620"/>
    <w:rsid w:val="009B6A9F"/>
    <w:rsid w:val="009C6BA5"/>
    <w:rsid w:val="009C7E59"/>
    <w:rsid w:val="009D7A84"/>
    <w:rsid w:val="009E5BE7"/>
    <w:rsid w:val="009F2B13"/>
    <w:rsid w:val="009F41A7"/>
    <w:rsid w:val="009F431B"/>
    <w:rsid w:val="00A00DEA"/>
    <w:rsid w:val="00A00E11"/>
    <w:rsid w:val="00A010F8"/>
    <w:rsid w:val="00A0195C"/>
    <w:rsid w:val="00A024DE"/>
    <w:rsid w:val="00A061DA"/>
    <w:rsid w:val="00A07D77"/>
    <w:rsid w:val="00A105D7"/>
    <w:rsid w:val="00A137FA"/>
    <w:rsid w:val="00A15B97"/>
    <w:rsid w:val="00A17473"/>
    <w:rsid w:val="00A25ACD"/>
    <w:rsid w:val="00A30BD9"/>
    <w:rsid w:val="00A35539"/>
    <w:rsid w:val="00A445C3"/>
    <w:rsid w:val="00A46C03"/>
    <w:rsid w:val="00A471B4"/>
    <w:rsid w:val="00A50925"/>
    <w:rsid w:val="00A50A21"/>
    <w:rsid w:val="00A50B01"/>
    <w:rsid w:val="00A50B14"/>
    <w:rsid w:val="00A5410B"/>
    <w:rsid w:val="00A55756"/>
    <w:rsid w:val="00A57D4D"/>
    <w:rsid w:val="00A635D7"/>
    <w:rsid w:val="00A640F4"/>
    <w:rsid w:val="00A64F9C"/>
    <w:rsid w:val="00A66491"/>
    <w:rsid w:val="00A7099D"/>
    <w:rsid w:val="00A733EF"/>
    <w:rsid w:val="00A7432D"/>
    <w:rsid w:val="00A74CAF"/>
    <w:rsid w:val="00A75A77"/>
    <w:rsid w:val="00A83056"/>
    <w:rsid w:val="00A8377D"/>
    <w:rsid w:val="00A8408F"/>
    <w:rsid w:val="00A84E2D"/>
    <w:rsid w:val="00A84F62"/>
    <w:rsid w:val="00A85A70"/>
    <w:rsid w:val="00A86F0C"/>
    <w:rsid w:val="00A95848"/>
    <w:rsid w:val="00A97124"/>
    <w:rsid w:val="00AA43D2"/>
    <w:rsid w:val="00AA46D7"/>
    <w:rsid w:val="00AA5658"/>
    <w:rsid w:val="00AA5B11"/>
    <w:rsid w:val="00AA6395"/>
    <w:rsid w:val="00AB37F0"/>
    <w:rsid w:val="00AC4B70"/>
    <w:rsid w:val="00AC6375"/>
    <w:rsid w:val="00AD0486"/>
    <w:rsid w:val="00AD3D27"/>
    <w:rsid w:val="00AD6851"/>
    <w:rsid w:val="00AE1869"/>
    <w:rsid w:val="00AE6558"/>
    <w:rsid w:val="00AF0819"/>
    <w:rsid w:val="00AF0B4D"/>
    <w:rsid w:val="00AF0FBC"/>
    <w:rsid w:val="00AF15F1"/>
    <w:rsid w:val="00AF1878"/>
    <w:rsid w:val="00AF42CD"/>
    <w:rsid w:val="00AF43F0"/>
    <w:rsid w:val="00AF4796"/>
    <w:rsid w:val="00B0237B"/>
    <w:rsid w:val="00B0431E"/>
    <w:rsid w:val="00B10A48"/>
    <w:rsid w:val="00B130B6"/>
    <w:rsid w:val="00B150E5"/>
    <w:rsid w:val="00B16A61"/>
    <w:rsid w:val="00B177C2"/>
    <w:rsid w:val="00B328EB"/>
    <w:rsid w:val="00B35646"/>
    <w:rsid w:val="00B35C37"/>
    <w:rsid w:val="00B41A15"/>
    <w:rsid w:val="00B432CB"/>
    <w:rsid w:val="00B46765"/>
    <w:rsid w:val="00B55E46"/>
    <w:rsid w:val="00B603FD"/>
    <w:rsid w:val="00B633F7"/>
    <w:rsid w:val="00B6458A"/>
    <w:rsid w:val="00B654F6"/>
    <w:rsid w:val="00B6780A"/>
    <w:rsid w:val="00B70EAD"/>
    <w:rsid w:val="00B72A25"/>
    <w:rsid w:val="00B81C61"/>
    <w:rsid w:val="00B82192"/>
    <w:rsid w:val="00B90CBB"/>
    <w:rsid w:val="00B93337"/>
    <w:rsid w:val="00BA0050"/>
    <w:rsid w:val="00BA02B5"/>
    <w:rsid w:val="00BA5F8E"/>
    <w:rsid w:val="00BB0AB5"/>
    <w:rsid w:val="00BB4BBB"/>
    <w:rsid w:val="00BB6298"/>
    <w:rsid w:val="00BB6770"/>
    <w:rsid w:val="00BB7D08"/>
    <w:rsid w:val="00BC22C8"/>
    <w:rsid w:val="00BD1172"/>
    <w:rsid w:val="00BD2E32"/>
    <w:rsid w:val="00BD2F23"/>
    <w:rsid w:val="00BD58D0"/>
    <w:rsid w:val="00BD7ABC"/>
    <w:rsid w:val="00BE2B5F"/>
    <w:rsid w:val="00BE4DBE"/>
    <w:rsid w:val="00BE6FC1"/>
    <w:rsid w:val="00BF0859"/>
    <w:rsid w:val="00BF5D15"/>
    <w:rsid w:val="00C05A24"/>
    <w:rsid w:val="00C06613"/>
    <w:rsid w:val="00C10CB0"/>
    <w:rsid w:val="00C12A75"/>
    <w:rsid w:val="00C1467B"/>
    <w:rsid w:val="00C152DC"/>
    <w:rsid w:val="00C164ED"/>
    <w:rsid w:val="00C202EB"/>
    <w:rsid w:val="00C23EA7"/>
    <w:rsid w:val="00C30B4F"/>
    <w:rsid w:val="00C31759"/>
    <w:rsid w:val="00C320F2"/>
    <w:rsid w:val="00C32242"/>
    <w:rsid w:val="00C32927"/>
    <w:rsid w:val="00C32969"/>
    <w:rsid w:val="00C336DE"/>
    <w:rsid w:val="00C3565B"/>
    <w:rsid w:val="00C4735D"/>
    <w:rsid w:val="00C53374"/>
    <w:rsid w:val="00C54D3F"/>
    <w:rsid w:val="00C600F9"/>
    <w:rsid w:val="00C61728"/>
    <w:rsid w:val="00C703FB"/>
    <w:rsid w:val="00C726C4"/>
    <w:rsid w:val="00C73D7D"/>
    <w:rsid w:val="00C74FB7"/>
    <w:rsid w:val="00C7501F"/>
    <w:rsid w:val="00C756FC"/>
    <w:rsid w:val="00C831BB"/>
    <w:rsid w:val="00C859D8"/>
    <w:rsid w:val="00C956B8"/>
    <w:rsid w:val="00CA63F9"/>
    <w:rsid w:val="00CB1989"/>
    <w:rsid w:val="00CB1B1D"/>
    <w:rsid w:val="00CB4B0F"/>
    <w:rsid w:val="00CB777E"/>
    <w:rsid w:val="00CC06E9"/>
    <w:rsid w:val="00CC3650"/>
    <w:rsid w:val="00CC7230"/>
    <w:rsid w:val="00CD0B54"/>
    <w:rsid w:val="00CD1151"/>
    <w:rsid w:val="00CD32C3"/>
    <w:rsid w:val="00CD489A"/>
    <w:rsid w:val="00CD7D3C"/>
    <w:rsid w:val="00CE05C4"/>
    <w:rsid w:val="00CE2294"/>
    <w:rsid w:val="00CE46DA"/>
    <w:rsid w:val="00CF13AD"/>
    <w:rsid w:val="00D01018"/>
    <w:rsid w:val="00D03E06"/>
    <w:rsid w:val="00D10F68"/>
    <w:rsid w:val="00D20225"/>
    <w:rsid w:val="00D203B9"/>
    <w:rsid w:val="00D22FBD"/>
    <w:rsid w:val="00D30393"/>
    <w:rsid w:val="00D30F3D"/>
    <w:rsid w:val="00D32DB3"/>
    <w:rsid w:val="00D335A8"/>
    <w:rsid w:val="00D355D2"/>
    <w:rsid w:val="00D360F3"/>
    <w:rsid w:val="00D3657D"/>
    <w:rsid w:val="00D379BD"/>
    <w:rsid w:val="00D437BD"/>
    <w:rsid w:val="00D507E5"/>
    <w:rsid w:val="00D6260F"/>
    <w:rsid w:val="00D7099B"/>
    <w:rsid w:val="00D76128"/>
    <w:rsid w:val="00D76E55"/>
    <w:rsid w:val="00D8228F"/>
    <w:rsid w:val="00D82622"/>
    <w:rsid w:val="00D879F0"/>
    <w:rsid w:val="00D90089"/>
    <w:rsid w:val="00D92BD4"/>
    <w:rsid w:val="00D96C66"/>
    <w:rsid w:val="00D9730E"/>
    <w:rsid w:val="00D97DD3"/>
    <w:rsid w:val="00DA2F3A"/>
    <w:rsid w:val="00DA4E9B"/>
    <w:rsid w:val="00DA588F"/>
    <w:rsid w:val="00DB00F4"/>
    <w:rsid w:val="00DB7355"/>
    <w:rsid w:val="00DB7F8C"/>
    <w:rsid w:val="00DC2490"/>
    <w:rsid w:val="00DC4985"/>
    <w:rsid w:val="00DC57DE"/>
    <w:rsid w:val="00DC69AA"/>
    <w:rsid w:val="00DD1BA9"/>
    <w:rsid w:val="00DD325B"/>
    <w:rsid w:val="00DD4559"/>
    <w:rsid w:val="00DD4BA5"/>
    <w:rsid w:val="00DE5DFE"/>
    <w:rsid w:val="00DE69CD"/>
    <w:rsid w:val="00DF3CB0"/>
    <w:rsid w:val="00DF3F7B"/>
    <w:rsid w:val="00DF571C"/>
    <w:rsid w:val="00DF70DF"/>
    <w:rsid w:val="00DF7AAD"/>
    <w:rsid w:val="00E00277"/>
    <w:rsid w:val="00E0069F"/>
    <w:rsid w:val="00E013C5"/>
    <w:rsid w:val="00E06762"/>
    <w:rsid w:val="00E06973"/>
    <w:rsid w:val="00E10A37"/>
    <w:rsid w:val="00E11937"/>
    <w:rsid w:val="00E13DB4"/>
    <w:rsid w:val="00E15B66"/>
    <w:rsid w:val="00E1706C"/>
    <w:rsid w:val="00E2171D"/>
    <w:rsid w:val="00E25645"/>
    <w:rsid w:val="00E27AF5"/>
    <w:rsid w:val="00E344BC"/>
    <w:rsid w:val="00E35A0B"/>
    <w:rsid w:val="00E40023"/>
    <w:rsid w:val="00E41B75"/>
    <w:rsid w:val="00E46159"/>
    <w:rsid w:val="00E4648A"/>
    <w:rsid w:val="00E46AD6"/>
    <w:rsid w:val="00E47C16"/>
    <w:rsid w:val="00E510F9"/>
    <w:rsid w:val="00E51F70"/>
    <w:rsid w:val="00E624BB"/>
    <w:rsid w:val="00E640B3"/>
    <w:rsid w:val="00E64A7E"/>
    <w:rsid w:val="00E65618"/>
    <w:rsid w:val="00E657D2"/>
    <w:rsid w:val="00E65F39"/>
    <w:rsid w:val="00E679C7"/>
    <w:rsid w:val="00E704A4"/>
    <w:rsid w:val="00E70D3E"/>
    <w:rsid w:val="00E742E5"/>
    <w:rsid w:val="00E76BA3"/>
    <w:rsid w:val="00E8216B"/>
    <w:rsid w:val="00E87188"/>
    <w:rsid w:val="00E959D5"/>
    <w:rsid w:val="00E96BE1"/>
    <w:rsid w:val="00EA0E75"/>
    <w:rsid w:val="00EA2257"/>
    <w:rsid w:val="00EA255F"/>
    <w:rsid w:val="00EA37BC"/>
    <w:rsid w:val="00EA4D87"/>
    <w:rsid w:val="00EA5CCB"/>
    <w:rsid w:val="00EB1DCA"/>
    <w:rsid w:val="00EB2033"/>
    <w:rsid w:val="00EC05A6"/>
    <w:rsid w:val="00EC62E1"/>
    <w:rsid w:val="00EC6556"/>
    <w:rsid w:val="00EC7C11"/>
    <w:rsid w:val="00ED079F"/>
    <w:rsid w:val="00ED0D4E"/>
    <w:rsid w:val="00ED1CC7"/>
    <w:rsid w:val="00ED2C6E"/>
    <w:rsid w:val="00ED3A20"/>
    <w:rsid w:val="00ED57E3"/>
    <w:rsid w:val="00EE073C"/>
    <w:rsid w:val="00EE58F0"/>
    <w:rsid w:val="00EF0551"/>
    <w:rsid w:val="00EF05A7"/>
    <w:rsid w:val="00EF0E69"/>
    <w:rsid w:val="00EF13BC"/>
    <w:rsid w:val="00EF1999"/>
    <w:rsid w:val="00EF1D4B"/>
    <w:rsid w:val="00EF41E1"/>
    <w:rsid w:val="00EF5BFF"/>
    <w:rsid w:val="00EF5EAD"/>
    <w:rsid w:val="00EF754F"/>
    <w:rsid w:val="00EF7B00"/>
    <w:rsid w:val="00F03EB4"/>
    <w:rsid w:val="00F063B3"/>
    <w:rsid w:val="00F07062"/>
    <w:rsid w:val="00F11F62"/>
    <w:rsid w:val="00F1799A"/>
    <w:rsid w:val="00F17BAE"/>
    <w:rsid w:val="00F2140E"/>
    <w:rsid w:val="00F2708F"/>
    <w:rsid w:val="00F271DE"/>
    <w:rsid w:val="00F30037"/>
    <w:rsid w:val="00F30576"/>
    <w:rsid w:val="00F30FBF"/>
    <w:rsid w:val="00F35D5F"/>
    <w:rsid w:val="00F37456"/>
    <w:rsid w:val="00F42258"/>
    <w:rsid w:val="00F45C40"/>
    <w:rsid w:val="00F570C4"/>
    <w:rsid w:val="00F67194"/>
    <w:rsid w:val="00F70E20"/>
    <w:rsid w:val="00F74F57"/>
    <w:rsid w:val="00F7502A"/>
    <w:rsid w:val="00F842EE"/>
    <w:rsid w:val="00F858B8"/>
    <w:rsid w:val="00F8661A"/>
    <w:rsid w:val="00F87EC7"/>
    <w:rsid w:val="00F90037"/>
    <w:rsid w:val="00F913B2"/>
    <w:rsid w:val="00F91E4B"/>
    <w:rsid w:val="00F94A90"/>
    <w:rsid w:val="00FA126E"/>
    <w:rsid w:val="00FA175D"/>
    <w:rsid w:val="00FA4450"/>
    <w:rsid w:val="00FC2756"/>
    <w:rsid w:val="00FC281B"/>
    <w:rsid w:val="00FC2DA5"/>
    <w:rsid w:val="00FD148B"/>
    <w:rsid w:val="00FD7210"/>
    <w:rsid w:val="00FE0C56"/>
    <w:rsid w:val="00FE20F0"/>
    <w:rsid w:val="00FE7C2F"/>
    <w:rsid w:val="00FF1B53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2F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7A"/>
  </w:style>
  <w:style w:type="paragraph" w:styleId="Footer">
    <w:name w:val="footer"/>
    <w:basedOn w:val="Normal"/>
    <w:link w:val="FooterChar"/>
    <w:uiPriority w:val="99"/>
    <w:semiHidden/>
    <w:unhideWhenUsed/>
    <w:rsid w:val="008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7A"/>
  </w:style>
  <w:style w:type="paragraph" w:styleId="ListParagraph">
    <w:name w:val="List Paragraph"/>
    <w:basedOn w:val="Normal"/>
    <w:uiPriority w:val="34"/>
    <w:qFormat/>
    <w:rsid w:val="00AA4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2F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7A"/>
  </w:style>
  <w:style w:type="paragraph" w:styleId="Footer">
    <w:name w:val="footer"/>
    <w:basedOn w:val="Normal"/>
    <w:link w:val="FooterChar"/>
    <w:uiPriority w:val="99"/>
    <w:semiHidden/>
    <w:unhideWhenUsed/>
    <w:rsid w:val="0086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7A"/>
  </w:style>
  <w:style w:type="paragraph" w:styleId="ListParagraph">
    <w:name w:val="List Paragraph"/>
    <w:basedOn w:val="Normal"/>
    <w:uiPriority w:val="34"/>
    <w:qFormat/>
    <w:rsid w:val="00AA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devangkumar.sha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esjardinslifeinsurance.com/en/simulators/Documents/GA-allocation-return/index_en.html?WT.mc_id=5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IEM0VlfY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Devangkumar Shah</dc:creator>
  <cp:lastModifiedBy>DELL</cp:lastModifiedBy>
  <cp:revision>8</cp:revision>
  <cp:lastPrinted>2015-04-17T20:23:00Z</cp:lastPrinted>
  <dcterms:created xsi:type="dcterms:W3CDTF">2016-10-13T17:39:00Z</dcterms:created>
  <dcterms:modified xsi:type="dcterms:W3CDTF">2016-11-07T21:31:00Z</dcterms:modified>
</cp:coreProperties>
</file>